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81D4" w14:textId="7CB28E56" w:rsidR="00D8657F" w:rsidRDefault="00D8657F" w:rsidP="00D8657F">
      <w:pPr>
        <w:pStyle w:val="Corpotesto"/>
        <w:keepNext/>
        <w:widowControl w:val="0"/>
        <w:spacing w:before="120" w:after="120" w:line="240" w:lineRule="auto"/>
        <w:jc w:val="center"/>
        <w:rPr>
          <w:i/>
          <w:iCs/>
          <w:color w:val="0000FF"/>
          <w:sz w:val="24"/>
        </w:rPr>
      </w:pPr>
      <w:r w:rsidRPr="00DF6076">
        <w:rPr>
          <w:i/>
          <w:iCs/>
          <w:color w:val="0000FF"/>
          <w:sz w:val="24"/>
        </w:rPr>
        <w:t xml:space="preserve">CONSORZIO PER </w:t>
      </w:r>
      <w:smartTag w:uri="urn:schemas-microsoft-com:office:smarttags" w:element="PersonName">
        <w:smartTagPr>
          <w:attr w:name="ProductID" w:val="LA BONIFICA DELLA"/>
        </w:smartTagPr>
        <w:r w:rsidRPr="00DF6076">
          <w:rPr>
            <w:i/>
            <w:iCs/>
            <w:color w:val="0000FF"/>
            <w:sz w:val="24"/>
          </w:rPr>
          <w:t>LA BONIFICA DELLA</w:t>
        </w:r>
      </w:smartTag>
      <w:r w:rsidRPr="00DF6076">
        <w:rPr>
          <w:i/>
          <w:iCs/>
          <w:color w:val="0000FF"/>
          <w:sz w:val="24"/>
        </w:rPr>
        <w:t xml:space="preserve"> VAL DI CHIANA ROMANA E VAL DI PAGLIA – Chiusi Stazione (SI)</w:t>
      </w:r>
    </w:p>
    <w:p w14:paraId="690B7087" w14:textId="77777777" w:rsidR="00D8657F" w:rsidRDefault="00D8657F" w:rsidP="00D8657F">
      <w:pPr>
        <w:pStyle w:val="Corpotesto"/>
        <w:keepNext/>
        <w:widowControl w:val="0"/>
        <w:spacing w:before="120" w:after="120" w:line="240" w:lineRule="auto"/>
        <w:jc w:val="center"/>
        <w:rPr>
          <w:i/>
          <w:iCs/>
          <w:color w:val="0000FF"/>
          <w:sz w:val="24"/>
        </w:rPr>
      </w:pPr>
    </w:p>
    <w:p w14:paraId="7B491BFA" w14:textId="77777777" w:rsidR="004E3FEA" w:rsidRPr="000030AC" w:rsidRDefault="00782E5B" w:rsidP="00D8657F">
      <w:pPr>
        <w:spacing w:beforeLines="60" w:before="144" w:after="0" w:line="240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3EC3523D" w14:textId="27161794" w:rsidR="00E16CA9" w:rsidRPr="000030AC" w:rsidRDefault="009517B8" w:rsidP="00D8657F">
      <w:pPr>
        <w:pStyle w:val="Paragrafoelenco"/>
        <w:numPr>
          <w:ilvl w:val="0"/>
          <w:numId w:val="1"/>
        </w:numPr>
        <w:tabs>
          <w:tab w:val="left" w:pos="0"/>
        </w:tabs>
        <w:spacing w:beforeLines="60" w:before="144" w:after="0" w:line="240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proofErr w:type="spellStart"/>
      <w:r w:rsidR="00972D5A" w:rsidRPr="000030AC">
        <w:rPr>
          <w:rFonts w:ascii="Titillium" w:hAnsi="Titillium" w:cs="Times New Roman"/>
          <w:sz w:val="20"/>
          <w:szCs w:val="20"/>
        </w:rPr>
        <w:t>OIV</w:t>
      </w:r>
      <w:proofErr w:type="spellEnd"/>
      <w:r w:rsidR="00972D5A" w:rsidRPr="000030AC">
        <w:rPr>
          <w:rFonts w:ascii="Titillium" w:hAnsi="Titillium" w:cs="Times New Roman"/>
          <w:sz w:val="20"/>
          <w:szCs w:val="20"/>
        </w:rPr>
        <w:t xml:space="preserve">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</w:t>
      </w:r>
      <w:r w:rsidR="00D8657F">
        <w:rPr>
          <w:rFonts w:ascii="Titillium" w:hAnsi="Titillium" w:cs="Times New Roman"/>
          <w:sz w:val="20"/>
          <w:szCs w:val="20"/>
        </w:rPr>
        <w:t xml:space="preserve"> il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D8657F" w:rsidRPr="00D8657F">
        <w:rPr>
          <w:rFonts w:ascii="Titillium" w:hAnsi="Titillium" w:cs="Times New Roman"/>
          <w:b/>
          <w:bCs/>
          <w:sz w:val="20"/>
          <w:szCs w:val="20"/>
        </w:rPr>
        <w:t>Consorzio per la Bonifica della val di Chiana Romana e Val di Paglia</w:t>
      </w:r>
      <w:r w:rsidR="00D8657F">
        <w:rPr>
          <w:rFonts w:ascii="Titillium" w:hAnsi="Titillium" w:cs="Times New Roman"/>
          <w:sz w:val="20"/>
          <w:szCs w:val="20"/>
        </w:rPr>
        <w:t xml:space="preserve"> </w:t>
      </w:r>
      <w:r w:rsidR="00894ADA" w:rsidRPr="000030AC">
        <w:rPr>
          <w:rFonts w:ascii="Titillium" w:hAnsi="Titillium" w:cs="Times New Roman"/>
          <w:sz w:val="20"/>
          <w:szCs w:val="20"/>
        </w:rPr>
        <w:t>(</w:t>
      </w:r>
      <w:r w:rsidR="00894ADA" w:rsidRPr="00D8657F">
        <w:rPr>
          <w:rFonts w:ascii="Titillium" w:hAnsi="Titillium" w:cs="Times New Roman"/>
          <w:strike/>
          <w:sz w:val="20"/>
          <w:szCs w:val="20"/>
        </w:rPr>
        <w:t>nome della società</w:t>
      </w:r>
      <w:r w:rsidR="000B7CB8" w:rsidRPr="00D8657F">
        <w:rPr>
          <w:rFonts w:ascii="Titillium" w:hAnsi="Titillium" w:cs="Times New Roman"/>
          <w:strike/>
          <w:sz w:val="20"/>
          <w:szCs w:val="20"/>
        </w:rPr>
        <w:t>/</w:t>
      </w:r>
      <w:r w:rsidR="000B7CB8" w:rsidRPr="000030AC">
        <w:rPr>
          <w:rFonts w:ascii="Titillium" w:hAnsi="Titillium" w:cs="Times New Roman"/>
          <w:sz w:val="20"/>
          <w:szCs w:val="20"/>
        </w:rPr>
        <w:t>ente</w:t>
      </w:r>
      <w:r w:rsidR="003F1481" w:rsidRPr="000030AC">
        <w:rPr>
          <w:rFonts w:ascii="Titillium" w:hAnsi="Titillium" w:cs="Times New Roman"/>
          <w:sz w:val="20"/>
          <w:szCs w:val="20"/>
        </w:rPr>
        <w:t>)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6636B0EB" w14:textId="77777777" w:rsidR="004869E2" w:rsidRPr="000030AC" w:rsidRDefault="00E16CA9" w:rsidP="00D8657F">
      <w:pPr>
        <w:pStyle w:val="Paragrafoelenco"/>
        <w:numPr>
          <w:ilvl w:val="0"/>
          <w:numId w:val="1"/>
        </w:numPr>
        <w:tabs>
          <w:tab w:val="left" w:pos="0"/>
        </w:tabs>
        <w:spacing w:beforeLines="60" w:before="144" w:after="0" w:line="240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5B2E2181" w14:textId="5040BCBE" w:rsidR="004869E2" w:rsidRPr="000030AC" w:rsidRDefault="00D8657F" w:rsidP="00D8657F">
      <w:pPr>
        <w:pStyle w:val="Paragrafoelenco"/>
        <w:tabs>
          <w:tab w:val="left" w:pos="0"/>
        </w:tabs>
        <w:spacing w:beforeLines="60" w:before="144" w:after="0" w:line="240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FD"/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13C82E8D" w14:textId="77777777" w:rsidR="004869E2" w:rsidRPr="000030AC" w:rsidRDefault="0030463C" w:rsidP="00D8657F">
      <w:pPr>
        <w:pStyle w:val="Paragrafoelenco"/>
        <w:tabs>
          <w:tab w:val="left" w:pos="0"/>
        </w:tabs>
        <w:spacing w:beforeLines="60" w:before="144" w:after="0" w:line="240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01AEA527" w14:textId="77777777" w:rsidR="004E3FEA" w:rsidRPr="000030AC" w:rsidRDefault="00782E5B" w:rsidP="00D8657F">
      <w:pPr>
        <w:pStyle w:val="Paragrafoelenco"/>
        <w:spacing w:beforeLines="60" w:before="144" w:after="0" w:line="240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14:paraId="0DEA9DD4" w14:textId="77777777" w:rsidR="004E3FEA" w:rsidRPr="000030AC" w:rsidRDefault="00782E5B" w:rsidP="00D8657F">
      <w:pPr>
        <w:spacing w:beforeLines="60" w:before="144" w:after="0" w:line="240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7CB577AC" w14:textId="24A01B4D" w:rsidR="000B7CB8" w:rsidRPr="000030AC" w:rsidRDefault="00D8657F" w:rsidP="00D8657F">
      <w:pPr>
        <w:pStyle w:val="Paragrafoelenco"/>
        <w:spacing w:beforeLines="60" w:before="144" w:after="0" w:line="240" w:lineRule="auto"/>
        <w:ind w:left="388" w:firstLine="0"/>
        <w:rPr>
          <w:rFonts w:ascii="Titillium" w:hAnsi="Titillium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FD"/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</w:t>
      </w:r>
      <w:r w:rsidR="009A76F5" w:rsidRPr="00D8657F">
        <w:rPr>
          <w:rFonts w:ascii="Titillium" w:hAnsi="Titillium"/>
          <w:strike/>
          <w:sz w:val="20"/>
          <w:szCs w:val="20"/>
        </w:rPr>
        <w:t>a società</w:t>
      </w:r>
      <w:r w:rsidR="000B7CB8" w:rsidRPr="00D8657F">
        <w:rPr>
          <w:rFonts w:ascii="Titillium" w:hAnsi="Titillium"/>
          <w:strike/>
          <w:sz w:val="20"/>
          <w:szCs w:val="20"/>
        </w:rPr>
        <w:t>/</w:t>
      </w:r>
      <w:r w:rsidR="000B7CB8" w:rsidRPr="000030AC">
        <w:rPr>
          <w:rFonts w:ascii="Titillium" w:hAnsi="Titillium"/>
          <w:sz w:val="20"/>
          <w:szCs w:val="20"/>
        </w:rPr>
        <w:t>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6440FB" w:rsidRPr="000030AC">
        <w:rPr>
          <w:rFonts w:ascii="Titillium" w:hAnsi="Titillium"/>
          <w:i/>
          <w:sz w:val="20"/>
          <w:szCs w:val="20"/>
        </w:rPr>
        <w:t xml:space="preserve">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58BD0163" w14:textId="77777777" w:rsidR="00E16CA9" w:rsidRPr="000030AC" w:rsidRDefault="00E16CA9" w:rsidP="00D8657F">
      <w:pPr>
        <w:pStyle w:val="Paragrafoelenco"/>
        <w:spacing w:beforeLines="60" w:before="144" w:after="0" w:line="240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65EB0F33" w14:textId="77777777" w:rsidR="00974CBD" w:rsidRPr="00D8657F" w:rsidRDefault="00974CBD" w:rsidP="00D8657F">
      <w:pPr>
        <w:pStyle w:val="Paragrafoelenco"/>
        <w:spacing w:beforeLines="60" w:before="144" w:after="0" w:line="240" w:lineRule="auto"/>
        <w:ind w:left="388" w:firstLine="0"/>
        <w:rPr>
          <w:rFonts w:ascii="Titillium" w:hAnsi="Titillium"/>
          <w:i/>
          <w:sz w:val="10"/>
          <w:szCs w:val="10"/>
        </w:rPr>
      </w:pPr>
    </w:p>
    <w:p w14:paraId="05B30860" w14:textId="27987E33" w:rsidR="004E3FEA" w:rsidRPr="000030AC" w:rsidRDefault="00D8657F" w:rsidP="00D8657F">
      <w:pPr>
        <w:pStyle w:val="Paragrafoelenco"/>
        <w:spacing w:beforeLines="60" w:before="144" w:after="0" w:line="240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FD"/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</w:t>
      </w:r>
      <w:r w:rsidR="009A76F5" w:rsidRPr="00D8657F">
        <w:rPr>
          <w:rFonts w:ascii="Titillium" w:hAnsi="Titillium"/>
          <w:strike/>
          <w:sz w:val="20"/>
          <w:szCs w:val="20"/>
        </w:rPr>
        <w:t>a società/</w:t>
      </w:r>
      <w:r w:rsidR="009A76F5" w:rsidRPr="000030AC">
        <w:rPr>
          <w:rFonts w:ascii="Titillium" w:hAnsi="Titillium"/>
          <w:sz w:val="20"/>
          <w:szCs w:val="20"/>
        </w:rPr>
        <w:t xml:space="preserve">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4054ED1E" w14:textId="77777777" w:rsidR="00110741" w:rsidRPr="000030AC" w:rsidRDefault="00294141" w:rsidP="00D8657F">
      <w:pPr>
        <w:pStyle w:val="Paragrafoelenco"/>
        <w:spacing w:beforeLines="60" w:before="144" w:after="0" w:line="240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1519721D" w14:textId="77777777" w:rsidR="00974CBD" w:rsidRPr="00D8657F" w:rsidRDefault="00974CBD" w:rsidP="00D8657F">
      <w:pPr>
        <w:pStyle w:val="Paragrafoelenco"/>
        <w:spacing w:beforeLines="60" w:before="144" w:after="0" w:line="240" w:lineRule="auto"/>
        <w:ind w:left="388" w:firstLine="0"/>
        <w:rPr>
          <w:rFonts w:ascii="Titillium" w:hAnsi="Titillium"/>
          <w:i/>
          <w:sz w:val="10"/>
          <w:szCs w:val="10"/>
        </w:rPr>
      </w:pPr>
    </w:p>
    <w:p w14:paraId="0C3B90B0" w14:textId="27F3937D" w:rsidR="00110741" w:rsidRPr="000030AC" w:rsidRDefault="00D8657F" w:rsidP="00D8657F">
      <w:pPr>
        <w:pStyle w:val="Paragrafoelenco"/>
        <w:spacing w:beforeLines="60" w:before="144" w:after="0" w:line="240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FD"/>
      </w:r>
      <w:r w:rsidR="00324C21" w:rsidRPr="000030AC">
        <w:rPr>
          <w:rFonts w:ascii="Titillium" w:hAnsi="Titillium"/>
          <w:sz w:val="20"/>
          <w:szCs w:val="20"/>
        </w:rPr>
        <w:t xml:space="preserve"> L</w:t>
      </w:r>
      <w:r w:rsidR="00324C21" w:rsidRPr="00D8657F">
        <w:rPr>
          <w:rFonts w:ascii="Titillium" w:hAnsi="Titillium"/>
          <w:strike/>
          <w:sz w:val="20"/>
          <w:szCs w:val="20"/>
        </w:rPr>
        <w:t>a società</w:t>
      </w:r>
      <w:r w:rsidR="00AA77B0" w:rsidRPr="00D8657F">
        <w:rPr>
          <w:rFonts w:ascii="Titillium" w:hAnsi="Titillium"/>
          <w:strike/>
          <w:sz w:val="20"/>
          <w:szCs w:val="20"/>
        </w:rPr>
        <w:t>/</w:t>
      </w:r>
      <w:r w:rsidR="00AA77B0" w:rsidRPr="000030AC">
        <w:rPr>
          <w:rFonts w:ascii="Titillium" w:hAnsi="Titillium"/>
          <w:sz w:val="20"/>
          <w:szCs w:val="20"/>
        </w:rPr>
        <w:t xml:space="preserve">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642A74B8" w14:textId="77777777" w:rsidR="00110741" w:rsidRPr="000030AC" w:rsidRDefault="00AA77B0" w:rsidP="00D8657F">
      <w:pPr>
        <w:pStyle w:val="Paragrafoelenco"/>
        <w:spacing w:beforeLines="60" w:before="144" w:after="0" w:line="240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4BCCAD4E" w14:textId="77777777" w:rsidR="00110741" w:rsidRPr="00D8657F" w:rsidRDefault="00110741" w:rsidP="00D8657F">
      <w:pPr>
        <w:pStyle w:val="Paragrafoelenco"/>
        <w:spacing w:beforeLines="60" w:before="144" w:after="0" w:line="240" w:lineRule="auto"/>
        <w:ind w:left="388" w:firstLine="0"/>
        <w:rPr>
          <w:rFonts w:ascii="Titillium" w:hAnsi="Titillium"/>
          <w:i/>
          <w:sz w:val="10"/>
          <w:szCs w:val="10"/>
        </w:rPr>
      </w:pPr>
    </w:p>
    <w:p w14:paraId="4AE65B82" w14:textId="77777777" w:rsidR="00851A73" w:rsidRPr="000030AC" w:rsidRDefault="00851A73" w:rsidP="00D8657F">
      <w:pPr>
        <w:pStyle w:val="Paragrafoelenco"/>
        <w:keepNext w:val="0"/>
        <w:keepLines/>
        <w:spacing w:beforeLines="60" w:before="144" w:after="0" w:line="240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0251747B" w14:textId="77777777" w:rsidR="004E3FEA" w:rsidRPr="000030AC" w:rsidRDefault="00782E5B" w:rsidP="00D8657F">
      <w:pPr>
        <w:pStyle w:val="Paragrafoelenco"/>
        <w:keepNext w:val="0"/>
        <w:keepLines/>
        <w:spacing w:beforeLines="60" w:before="144" w:after="0" w:line="240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</w:t>
      </w:r>
      <w:r w:rsidR="00AD5BEA" w:rsidRPr="00D8657F">
        <w:rPr>
          <w:rFonts w:ascii="Titillium" w:hAnsi="Titillium"/>
          <w:strike/>
          <w:sz w:val="20"/>
          <w:szCs w:val="20"/>
        </w:rPr>
        <w:t>a società</w:t>
      </w:r>
      <w:r w:rsidR="000B7CB8" w:rsidRPr="00D8657F">
        <w:rPr>
          <w:rFonts w:ascii="Titillium" w:hAnsi="Titillium"/>
          <w:strike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09EE3587" w14:textId="77777777" w:rsidR="004E3FEA" w:rsidRPr="000030AC" w:rsidRDefault="004E3FEA" w:rsidP="00D8657F">
      <w:pPr>
        <w:keepNext w:val="0"/>
        <w:keepLines/>
        <w:spacing w:beforeLines="60" w:before="144" w:after="0" w:line="240" w:lineRule="auto"/>
        <w:rPr>
          <w:rFonts w:ascii="Titillium" w:hAnsi="Titillium" w:cs="Times New Roman"/>
          <w:sz w:val="20"/>
          <w:szCs w:val="20"/>
        </w:rPr>
      </w:pPr>
    </w:p>
    <w:p w14:paraId="12884148" w14:textId="4FEA9A19" w:rsidR="00747FDE" w:rsidRPr="000030AC" w:rsidRDefault="00782E5B" w:rsidP="00D8657F">
      <w:pPr>
        <w:keepNext w:val="0"/>
        <w:keepLines/>
        <w:spacing w:beforeLines="60" w:before="144" w:after="0" w:line="240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 w:rsidR="00D8657F">
        <w:rPr>
          <w:rFonts w:ascii="Titillium" w:hAnsi="Titillium" w:cs="Times New Roman"/>
          <w:b/>
          <w:bCs/>
          <w:sz w:val="20"/>
          <w:szCs w:val="20"/>
        </w:rPr>
        <w:t>31 maggio 2021</w:t>
      </w:r>
    </w:p>
    <w:p w14:paraId="15B431B6" w14:textId="77777777" w:rsidR="000B7CB8" w:rsidRPr="000030AC" w:rsidRDefault="00E16CA9" w:rsidP="00D8657F">
      <w:pPr>
        <w:keepNext w:val="0"/>
        <w:keepLines/>
        <w:spacing w:beforeLines="60" w:before="144" w:after="0" w:line="240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Firma dei componenti </w:t>
      </w:r>
      <w:r w:rsidR="000B7CB8" w:rsidRPr="000030AC">
        <w:rPr>
          <w:rFonts w:ascii="Titillium" w:hAnsi="Titillium" w:cs="Times New Roman"/>
          <w:sz w:val="20"/>
          <w:szCs w:val="20"/>
        </w:rPr>
        <w:t>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14:paraId="54C5667B" w14:textId="14482785" w:rsidR="00D8657F" w:rsidRDefault="00D8657F" w:rsidP="00D8657F">
      <w:pPr>
        <w:keepNext w:val="0"/>
        <w:keepLines/>
        <w:spacing w:beforeLines="60" w:before="144" w:after="0" w:line="240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 w:rsidRPr="00D8657F">
        <w:rPr>
          <w:rFonts w:ascii="Titillium" w:hAnsi="Titillium" w:cs="Times New Roman"/>
          <w:b/>
          <w:bCs/>
          <w:sz w:val="20"/>
          <w:szCs w:val="20"/>
        </w:rPr>
        <w:t>Responsabile della prevenzione della corruzione e</w:t>
      </w:r>
      <w:r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 w:rsidRPr="00D8657F">
        <w:rPr>
          <w:rFonts w:ascii="Titillium" w:hAnsi="Titillium" w:cs="Times New Roman"/>
          <w:b/>
          <w:bCs/>
          <w:sz w:val="20"/>
          <w:szCs w:val="20"/>
        </w:rPr>
        <w:t>della trasparenza (</w:t>
      </w:r>
      <w:proofErr w:type="spellStart"/>
      <w:r w:rsidRPr="00D8657F">
        <w:rPr>
          <w:rFonts w:ascii="Titillium" w:hAnsi="Titillium" w:cs="Times New Roman"/>
          <w:b/>
          <w:bCs/>
          <w:sz w:val="20"/>
          <w:szCs w:val="20"/>
        </w:rPr>
        <w:t>RPCT</w:t>
      </w:r>
      <w:proofErr w:type="spellEnd"/>
      <w:r w:rsidRPr="00D8657F">
        <w:rPr>
          <w:rFonts w:ascii="Titillium" w:hAnsi="Titillium" w:cs="Times New Roman"/>
          <w:b/>
          <w:bCs/>
          <w:sz w:val="20"/>
          <w:szCs w:val="20"/>
        </w:rPr>
        <w:t>)</w:t>
      </w:r>
    </w:p>
    <w:p w14:paraId="3CE3DC6F" w14:textId="3DC54A6F" w:rsidR="004E3FEA" w:rsidRPr="000030AC" w:rsidRDefault="00D8657F" w:rsidP="00D8657F">
      <w:pPr>
        <w:keepNext w:val="0"/>
        <w:keepLines/>
        <w:spacing w:beforeLines="60" w:before="144" w:after="0" w:line="240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Ing. Simone Conti</w:t>
      </w:r>
    </w:p>
    <w:sectPr w:rsidR="004E3FEA" w:rsidRPr="00003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A870" w14:textId="77777777" w:rsidR="00E918E0" w:rsidRDefault="00E918E0">
      <w:pPr>
        <w:spacing w:after="0" w:line="240" w:lineRule="auto"/>
      </w:pPr>
      <w:r>
        <w:separator/>
      </w:r>
    </w:p>
  </w:endnote>
  <w:endnote w:type="continuationSeparator" w:id="0">
    <w:p w14:paraId="23228B3E" w14:textId="77777777" w:rsidR="00E918E0" w:rsidRDefault="00E9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E639" w14:textId="77777777" w:rsidR="00733539" w:rsidRDefault="007335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1E4B" w14:textId="77777777" w:rsidR="00733539" w:rsidRDefault="007335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9A9A" w14:textId="77777777" w:rsidR="00733539" w:rsidRDefault="00733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62D9" w14:textId="77777777" w:rsidR="00E918E0" w:rsidRDefault="00E918E0">
      <w:r>
        <w:separator/>
      </w:r>
    </w:p>
  </w:footnote>
  <w:footnote w:type="continuationSeparator" w:id="0">
    <w:p w14:paraId="4FF5C9F7" w14:textId="77777777" w:rsidR="00E918E0" w:rsidRDefault="00E918E0">
      <w:r>
        <w:continuationSeparator/>
      </w:r>
    </w:p>
  </w:footnote>
  <w:footnote w:id="1">
    <w:p w14:paraId="480B9D8A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514D" w14:textId="77777777" w:rsidR="00733539" w:rsidRDefault="007335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D07B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8838" w14:textId="77777777" w:rsidR="00733539" w:rsidRDefault="00733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D3938"/>
    <w:rsid w:val="00CD5018"/>
    <w:rsid w:val="00CE4B1E"/>
    <w:rsid w:val="00CE63E1"/>
    <w:rsid w:val="00D2519E"/>
    <w:rsid w:val="00D44932"/>
    <w:rsid w:val="00D8657F"/>
    <w:rsid w:val="00DB7B08"/>
    <w:rsid w:val="00DF2E3B"/>
    <w:rsid w:val="00E16CA9"/>
    <w:rsid w:val="00E50CCE"/>
    <w:rsid w:val="00E5228B"/>
    <w:rsid w:val="00E65A3B"/>
    <w:rsid w:val="00E81570"/>
    <w:rsid w:val="00E918E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E76CC9A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D8657F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360" w:lineRule="auto"/>
      <w:jc w:val="left"/>
    </w:pPr>
    <w:rPr>
      <w:rFonts w:cs="Times New Roman"/>
      <w:b/>
      <w:bCs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8657F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FD6B-66EB-46D5-BE23-444D4C4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Elena Carletti</cp:lastModifiedBy>
  <cp:revision>3</cp:revision>
  <cp:lastPrinted>2015-11-23T17:01:00Z</cp:lastPrinted>
  <dcterms:created xsi:type="dcterms:W3CDTF">2021-05-13T06:51:00Z</dcterms:created>
  <dcterms:modified xsi:type="dcterms:W3CDTF">2021-05-27T10:04:00Z</dcterms:modified>
</cp:coreProperties>
</file>